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跟羽教授炒股日记：分析总结与数据可视化</w:t>
      </w:r>
    </w:p>
    <w:p>
      <w:pPr>
        <w:spacing w:after="240"/>
      </w:pPr>
      <w:r>
        <w:rPr>
          <w:rFonts w:ascii="Calibri" w:hAnsi="Calibri" w:eastAsia="PingFang SC"/>
          <w:b w:val="0"/>
          <w:color w:val="667085"/>
          <w:sz w:val="22"/>
        </w:rPr>
        <w:t>文本挖掘报告｜按日期、板块、动作与个股提及结构化分析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1800"/>
        <w:gridCol w:w="2232"/>
        <w:gridCol w:w="2088"/>
        <w:gridCol w:w="3240"/>
      </w:tblGrid>
      <w:tr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2F4F7"/>
          </w:tcPr>
          <w:p>
            <w:pPr>
              <w:jc w:val="left"/>
            </w:pPr>
            <w:r>
              <w:rPr>
                <w:rFonts w:ascii="Calibri" w:hAnsi="Calibri" w:eastAsia="PingFang SC"/>
                <w:b/>
                <w:color w:val="243142"/>
                <w:sz w:val="20"/>
              </w:rPr>
              <w:t>指标</w:t>
            </w:r>
          </w:p>
        </w:tc>
        <w:tc>
          <w:tcPr>
            <w:tcW w:type="dxa" w:w="2232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2F4F7"/>
          </w:tcPr>
          <w:p>
            <w:pPr>
              <w:jc w:val="left"/>
            </w:pPr>
            <w:r>
              <w:rPr>
                <w:rFonts w:ascii="Calibri" w:hAnsi="Calibri" w:eastAsia="PingFang SC"/>
                <w:b/>
                <w:color w:val="243142"/>
                <w:sz w:val="20"/>
              </w:rPr>
              <w:t>数值</w:t>
            </w:r>
          </w:p>
        </w:tc>
        <w:tc>
          <w:tcPr>
            <w:tcW w:type="dxa" w:w="2088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2F4F7"/>
          </w:tcPr>
          <w:p>
            <w:pPr>
              <w:jc w:val="left"/>
            </w:pPr>
            <w:r>
              <w:rPr>
                <w:rFonts w:ascii="Calibri" w:hAnsi="Calibri" w:eastAsia="PingFang SC"/>
                <w:b/>
                <w:color w:val="243142"/>
                <w:sz w:val="20"/>
              </w:rPr>
              <w:t>指标</w:t>
            </w:r>
          </w:p>
        </w:tc>
        <w:tc>
          <w:tcPr>
            <w:tcW w:type="dxa" w:w="32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2F4F7"/>
          </w:tcPr>
          <w:p>
            <w:pPr>
              <w:jc w:val="left"/>
            </w:pPr>
            <w:r>
              <w:rPr>
                <w:rFonts w:ascii="Calibri" w:hAnsi="Calibri" w:eastAsia="PingFang SC"/>
                <w:b/>
                <w:color w:val="243142"/>
                <w:sz w:val="20"/>
              </w:rPr>
              <w:t>数值</w:t>
            </w:r>
          </w:p>
        </w:tc>
      </w:tr>
      <w:tr>
        <w:tc>
          <w:tcPr>
            <w:tcW w:type="dxa" w:w="180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日期节点</w:t>
            </w:r>
          </w:p>
        </w:tc>
        <w:tc>
          <w:tcPr>
            <w:tcW w:type="dxa" w:w="2232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36</w:t>
            </w:r>
          </w:p>
        </w:tc>
        <w:tc>
          <w:tcPr>
            <w:tcW w:type="dxa" w:w="2088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正文段落</w:t>
            </w:r>
          </w:p>
        </w:tc>
        <w:tc>
          <w:tcPr>
            <w:tcW w:type="dxa" w:w="324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802</w:t>
            </w:r>
          </w:p>
        </w:tc>
      </w:tr>
      <w:tr>
        <w:tc>
          <w:tcPr>
            <w:tcW w:type="dxa" w:w="180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文本字符</w:t>
            </w:r>
          </w:p>
        </w:tc>
        <w:tc>
          <w:tcPr>
            <w:tcW w:type="dxa" w:w="2232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44,909</w:t>
            </w:r>
          </w:p>
        </w:tc>
        <w:tc>
          <w:tcPr>
            <w:tcW w:type="dxa" w:w="2088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直接出现代码</w:t>
            </w:r>
          </w:p>
        </w:tc>
        <w:tc>
          <w:tcPr>
            <w:tcW w:type="dxa" w:w="324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84</w:t>
            </w:r>
          </w:p>
        </w:tc>
      </w:tr>
    </w:tbl>
    <w:p/>
    <w:p>
      <w:pPr>
        <w:pStyle w:val="Heading1"/>
      </w:pPr>
      <w:r>
        <w:t>一、核心结论</w:t>
      </w:r>
    </w:p>
    <w:p>
      <w:pPr>
        <w:pStyle w:val="ListBullet"/>
        <w:spacing w:after="120"/>
      </w:pPr>
      <w:r>
        <w:rPr>
          <w:rFonts w:ascii="Calibri" w:hAnsi="Calibri" w:eastAsia="PingFang SC"/>
          <w:sz w:val="22"/>
        </w:rPr>
        <w:t>主题从早期“商业航天/周期资源”转向 4-5 月的“光通信/CPO/算力、芯片/半导体、机器人”。</w:t>
      </w:r>
    </w:p>
    <w:p>
      <w:pPr>
        <w:pStyle w:val="ListBullet"/>
        <w:spacing w:after="120"/>
      </w:pPr>
      <w:r>
        <w:rPr>
          <w:rFonts w:ascii="Calibri" w:hAnsi="Calibri" w:eastAsia="PingFang SC"/>
          <w:sz w:val="22"/>
        </w:rPr>
        <w:t>交易框架高度围绕“资金认可 + 板块共振 + 技术触发”，常见信号包括主力资金流入、放量阳线、黄色均价线、5 日均线、炸板、分歧转一致。</w:t>
      </w:r>
    </w:p>
    <w:p>
      <w:pPr>
        <w:pStyle w:val="ListBullet"/>
        <w:spacing w:after="120"/>
      </w:pPr>
      <w:r>
        <w:rPr>
          <w:rFonts w:ascii="Calibri" w:hAnsi="Calibri" w:eastAsia="PingFang SC"/>
          <w:sz w:val="22"/>
        </w:rPr>
        <w:t>操作语气不是单纯看多，而是频繁伴随风险提示；“观察/跟踪”最多，其后是“加仓/补仓”“风险/防御”“减仓/卖出/取关”。</w:t>
      </w:r>
    </w:p>
    <w:p>
      <w:pPr>
        <w:pStyle w:val="ListBullet"/>
        <w:spacing w:after="120"/>
      </w:pPr>
      <w:r>
        <w:rPr>
          <w:rFonts w:ascii="Calibri" w:hAnsi="Calibri" w:eastAsia="PingFang SC"/>
          <w:sz w:val="22"/>
        </w:rPr>
        <w:t>文档缺少完整成交和收益数据，因此不能还原真实胜率、收益率或回撤。</w:t>
      </w:r>
    </w:p>
    <w:p>
      <w:pPr>
        <w:pStyle w:val="Heading1"/>
      </w:pPr>
      <w:r>
        <w:t>二、数据可视化</w:t>
      </w:r>
    </w:p>
    <w:p>
      <w:r>
        <w:drawing>
          <wp:inline xmlns:a="http://schemas.openxmlformats.org/drawingml/2006/main" xmlns:pic="http://schemas.openxmlformats.org/drawingml/2006/picture">
            <wp:extent cx="5897880" cy="2830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1_diary_density_timelin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283098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40" w:after="160"/>
        <w:jc w:val="center"/>
      </w:pPr>
      <w:r>
        <w:rPr>
          <w:rFonts w:ascii="Calibri" w:hAnsi="Calibri" w:eastAsia="PingFang SC"/>
          <w:b w:val="0"/>
          <w:color w:val="667085"/>
          <w:sz w:val="18"/>
        </w:rPr>
        <w:t>图 1：日记密度时间线</w:t>
      </w:r>
    </w:p>
    <w:p>
      <w:r>
        <w:drawing>
          <wp:inline xmlns:a="http://schemas.openxmlformats.org/drawingml/2006/main" xmlns:pic="http://schemas.openxmlformats.org/drawingml/2006/picture">
            <wp:extent cx="5897880" cy="3294519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2_sector_heat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329451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40" w:after="160"/>
        <w:jc w:val="center"/>
      </w:pPr>
      <w:r>
        <w:rPr>
          <w:rFonts w:ascii="Calibri" w:hAnsi="Calibri" w:eastAsia="PingFang SC"/>
          <w:b w:val="0"/>
          <w:color w:val="667085"/>
          <w:sz w:val="18"/>
        </w:rPr>
        <w:t>图 2：板块主题热度</w:t>
      </w:r>
    </w:p>
    <w:p>
      <w:r>
        <w:drawing>
          <wp:inline xmlns:a="http://schemas.openxmlformats.org/drawingml/2006/main" xmlns:pic="http://schemas.openxmlformats.org/drawingml/2006/picture">
            <wp:extent cx="5897880" cy="2575715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3_action_distribution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25757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40" w:after="160"/>
        <w:jc w:val="center"/>
      </w:pPr>
      <w:r>
        <w:rPr>
          <w:rFonts w:ascii="Calibri" w:hAnsi="Calibri" w:eastAsia="PingFang SC"/>
          <w:b w:val="0"/>
          <w:color w:val="667085"/>
          <w:sz w:val="18"/>
        </w:rPr>
        <w:t>图 3：操作动作分布</w:t>
      </w:r>
    </w:p>
    <w:p>
      <w:r>
        <w:drawing>
          <wp:inline xmlns:a="http://schemas.openxmlformats.org/drawingml/2006/main" xmlns:pic="http://schemas.openxmlformats.org/drawingml/2006/picture">
            <wp:extent cx="5897880" cy="5043115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4_top_stock_codes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50431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40" w:after="160"/>
        <w:jc w:val="center"/>
      </w:pPr>
      <w:r>
        <w:rPr>
          <w:rFonts w:ascii="Calibri" w:hAnsi="Calibri" w:eastAsia="PingFang SC"/>
          <w:b w:val="0"/>
          <w:color w:val="667085"/>
          <w:sz w:val="18"/>
        </w:rPr>
        <w:t>图 4：高频代码提及</w:t>
      </w:r>
    </w:p>
    <w:p>
      <w:pPr>
        <w:pStyle w:val="Heading1"/>
      </w:pPr>
      <w:r>
        <w:t>三、结构化统计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3024"/>
        <w:gridCol w:w="2232"/>
        <w:gridCol w:w="4104"/>
      </w:tblGrid>
      <w:tr>
        <w:tc>
          <w:tcPr>
            <w:tcW w:type="dxa" w:w="302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2F4F7"/>
          </w:tcPr>
          <w:p>
            <w:pPr>
              <w:jc w:val="left"/>
            </w:pPr>
            <w:r>
              <w:rPr>
                <w:rFonts w:ascii="Calibri" w:hAnsi="Calibri" w:eastAsia="PingFang SC"/>
                <w:b/>
                <w:color w:val="243142"/>
                <w:sz w:val="20"/>
              </w:rPr>
              <w:t>记录最密集日期</w:t>
            </w:r>
          </w:p>
        </w:tc>
        <w:tc>
          <w:tcPr>
            <w:tcW w:type="dxa" w:w="2232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2F4F7"/>
          </w:tcPr>
          <w:p>
            <w:pPr>
              <w:jc w:val="left"/>
            </w:pPr>
            <w:r>
              <w:rPr>
                <w:rFonts w:ascii="Calibri" w:hAnsi="Calibri" w:eastAsia="PingFang SC"/>
                <w:b/>
                <w:color w:val="243142"/>
                <w:sz w:val="20"/>
              </w:rPr>
              <w:t>正文段落数</w:t>
            </w:r>
          </w:p>
        </w:tc>
        <w:tc>
          <w:tcPr>
            <w:tcW w:type="dxa" w:w="410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2F4F7"/>
          </w:tcPr>
          <w:p>
            <w:pPr>
              <w:jc w:val="left"/>
            </w:pPr>
            <w:r>
              <w:rPr>
                <w:rFonts w:ascii="Calibri" w:hAnsi="Calibri" w:eastAsia="PingFang SC"/>
                <w:b/>
                <w:color w:val="243142"/>
                <w:sz w:val="20"/>
              </w:rPr>
              <w:t>字符数</w:t>
            </w:r>
          </w:p>
        </w:tc>
      </w:tr>
      <w:tr>
        <w:tc>
          <w:tcPr>
            <w:tcW w:type="dxa" w:w="3024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4月22日</w:t>
            </w:r>
          </w:p>
        </w:tc>
        <w:tc>
          <w:tcPr>
            <w:tcW w:type="dxa" w:w="2232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71</w:t>
            </w:r>
          </w:p>
        </w:tc>
        <w:tc>
          <w:tcPr>
            <w:tcW w:type="dxa" w:w="4104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3902</w:t>
            </w:r>
          </w:p>
        </w:tc>
      </w:tr>
      <w:tr>
        <w:tc>
          <w:tcPr>
            <w:tcW w:type="dxa" w:w="3024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5月5日</w:t>
            </w:r>
          </w:p>
        </w:tc>
        <w:tc>
          <w:tcPr>
            <w:tcW w:type="dxa" w:w="2232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71</w:t>
            </w:r>
          </w:p>
        </w:tc>
        <w:tc>
          <w:tcPr>
            <w:tcW w:type="dxa" w:w="4104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3467</w:t>
            </w:r>
          </w:p>
        </w:tc>
      </w:tr>
      <w:tr>
        <w:tc>
          <w:tcPr>
            <w:tcW w:type="dxa" w:w="3024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4月17日</w:t>
            </w:r>
          </w:p>
        </w:tc>
        <w:tc>
          <w:tcPr>
            <w:tcW w:type="dxa" w:w="2232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52</w:t>
            </w:r>
          </w:p>
        </w:tc>
        <w:tc>
          <w:tcPr>
            <w:tcW w:type="dxa" w:w="4104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3110</w:t>
            </w:r>
          </w:p>
        </w:tc>
      </w:tr>
      <w:tr>
        <w:tc>
          <w:tcPr>
            <w:tcW w:type="dxa" w:w="3024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5月6日</w:t>
            </w:r>
          </w:p>
        </w:tc>
        <w:tc>
          <w:tcPr>
            <w:tcW w:type="dxa" w:w="2232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49</w:t>
            </w:r>
          </w:p>
        </w:tc>
        <w:tc>
          <w:tcPr>
            <w:tcW w:type="dxa" w:w="4104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3330</w:t>
            </w:r>
          </w:p>
        </w:tc>
      </w:tr>
      <w:tr>
        <w:tc>
          <w:tcPr>
            <w:tcW w:type="dxa" w:w="3024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4月30日</w:t>
            </w:r>
          </w:p>
        </w:tc>
        <w:tc>
          <w:tcPr>
            <w:tcW w:type="dxa" w:w="2232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43</w:t>
            </w:r>
          </w:p>
        </w:tc>
        <w:tc>
          <w:tcPr>
            <w:tcW w:type="dxa" w:w="4104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1458</w:t>
            </w:r>
          </w:p>
        </w:tc>
      </w:tr>
      <w:tr>
        <w:tc>
          <w:tcPr>
            <w:tcW w:type="dxa" w:w="3024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5月11日</w:t>
            </w:r>
          </w:p>
        </w:tc>
        <w:tc>
          <w:tcPr>
            <w:tcW w:type="dxa" w:w="2232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37</w:t>
            </w:r>
          </w:p>
        </w:tc>
        <w:tc>
          <w:tcPr>
            <w:tcW w:type="dxa" w:w="4104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3808</w:t>
            </w:r>
          </w:p>
        </w:tc>
      </w:tr>
    </w:tbl>
    <w:p/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5184"/>
        <w:gridCol w:w="4176"/>
      </w:tblGrid>
      <w:tr>
        <w:tc>
          <w:tcPr>
            <w:tcW w:type="dxa" w:w="518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2F4F7"/>
          </w:tcPr>
          <w:p>
            <w:pPr>
              <w:jc w:val="left"/>
            </w:pPr>
            <w:r>
              <w:rPr>
                <w:rFonts w:ascii="Calibri" w:hAnsi="Calibri" w:eastAsia="PingFang SC"/>
                <w:b/>
                <w:color w:val="243142"/>
                <w:sz w:val="20"/>
              </w:rPr>
              <w:t>动作类别</w:t>
            </w:r>
          </w:p>
        </w:tc>
        <w:tc>
          <w:tcPr>
            <w:tcW w:type="dxa" w:w="417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2F4F7"/>
          </w:tcPr>
          <w:p>
            <w:pPr>
              <w:jc w:val="left"/>
            </w:pPr>
            <w:r>
              <w:rPr>
                <w:rFonts w:ascii="Calibri" w:hAnsi="Calibri" w:eastAsia="PingFang SC"/>
                <w:b/>
                <w:color w:val="243142"/>
                <w:sz w:val="20"/>
              </w:rPr>
              <w:t>命中段落数</w:t>
            </w:r>
          </w:p>
        </w:tc>
      </w:tr>
      <w:tr>
        <w:tc>
          <w:tcPr>
            <w:tcW w:type="dxa" w:w="5184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观察/跟踪</w:t>
            </w:r>
          </w:p>
        </w:tc>
        <w:tc>
          <w:tcPr>
            <w:tcW w:type="dxa" w:w="4176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190</w:t>
            </w:r>
          </w:p>
        </w:tc>
      </w:tr>
      <w:tr>
        <w:tc>
          <w:tcPr>
            <w:tcW w:type="dxa" w:w="5184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加仓/补仓</w:t>
            </w:r>
          </w:p>
        </w:tc>
        <w:tc>
          <w:tcPr>
            <w:tcW w:type="dxa" w:w="4176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127</w:t>
            </w:r>
          </w:p>
        </w:tc>
      </w:tr>
      <w:tr>
        <w:tc>
          <w:tcPr>
            <w:tcW w:type="dxa" w:w="5184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风险/防御</w:t>
            </w:r>
          </w:p>
        </w:tc>
        <w:tc>
          <w:tcPr>
            <w:tcW w:type="dxa" w:w="4176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119</w:t>
            </w:r>
          </w:p>
        </w:tc>
      </w:tr>
      <w:tr>
        <w:tc>
          <w:tcPr>
            <w:tcW w:type="dxa" w:w="5184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减仓/卖出/取关</w:t>
            </w:r>
          </w:p>
        </w:tc>
        <w:tc>
          <w:tcPr>
            <w:tcW w:type="dxa" w:w="4176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112</w:t>
            </w:r>
          </w:p>
        </w:tc>
      </w:tr>
      <w:tr>
        <w:tc>
          <w:tcPr>
            <w:tcW w:type="dxa" w:w="5184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持有/耐心</w:t>
            </w:r>
          </w:p>
        </w:tc>
        <w:tc>
          <w:tcPr>
            <w:tcW w:type="dxa" w:w="4176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77</w:t>
            </w:r>
          </w:p>
        </w:tc>
      </w:tr>
      <w:tr>
        <w:tc>
          <w:tcPr>
            <w:tcW w:type="dxa" w:w="5184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买入/上车</w:t>
            </w:r>
          </w:p>
        </w:tc>
        <w:tc>
          <w:tcPr>
            <w:tcW w:type="dxa" w:w="4176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50</w:t>
            </w:r>
          </w:p>
        </w:tc>
      </w:tr>
      <w:tr>
        <w:tc>
          <w:tcPr>
            <w:tcW w:type="dxa" w:w="5184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止盈/止损</w:t>
            </w:r>
          </w:p>
        </w:tc>
        <w:tc>
          <w:tcPr>
            <w:tcW w:type="dxa" w:w="4176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24</w:t>
            </w:r>
          </w:p>
        </w:tc>
      </w:tr>
    </w:tbl>
    <w:p/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5184"/>
        <w:gridCol w:w="4176"/>
      </w:tblGrid>
      <w:tr>
        <w:tc>
          <w:tcPr>
            <w:tcW w:type="dxa" w:w="518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2F4F7"/>
          </w:tcPr>
          <w:p>
            <w:pPr>
              <w:jc w:val="left"/>
            </w:pPr>
            <w:r>
              <w:rPr>
                <w:rFonts w:ascii="Calibri" w:hAnsi="Calibri" w:eastAsia="PingFang SC"/>
                <w:b/>
                <w:color w:val="243142"/>
                <w:sz w:val="20"/>
              </w:rPr>
              <w:t>板块主题</w:t>
            </w:r>
          </w:p>
        </w:tc>
        <w:tc>
          <w:tcPr>
            <w:tcW w:type="dxa" w:w="417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2F4F7"/>
          </w:tcPr>
          <w:p>
            <w:pPr>
              <w:jc w:val="left"/>
            </w:pPr>
            <w:r>
              <w:rPr>
                <w:rFonts w:ascii="Calibri" w:hAnsi="Calibri" w:eastAsia="PingFang SC"/>
                <w:b/>
                <w:color w:val="243142"/>
                <w:sz w:val="20"/>
              </w:rPr>
              <w:t>关键词命中次数</w:t>
            </w:r>
          </w:p>
        </w:tc>
      </w:tr>
      <w:tr>
        <w:tc>
          <w:tcPr>
            <w:tcW w:type="dxa" w:w="5184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光通信/CPO/算力</w:t>
            </w:r>
          </w:p>
        </w:tc>
        <w:tc>
          <w:tcPr>
            <w:tcW w:type="dxa" w:w="4176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105</w:t>
            </w:r>
          </w:p>
        </w:tc>
      </w:tr>
      <w:tr>
        <w:tc>
          <w:tcPr>
            <w:tcW w:type="dxa" w:w="5184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芯片/半导体</w:t>
            </w:r>
          </w:p>
        </w:tc>
        <w:tc>
          <w:tcPr>
            <w:tcW w:type="dxa" w:w="4176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85</w:t>
            </w:r>
          </w:p>
        </w:tc>
      </w:tr>
      <w:tr>
        <w:tc>
          <w:tcPr>
            <w:tcW w:type="dxa" w:w="5184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机器人/工业母机</w:t>
            </w:r>
          </w:p>
        </w:tc>
        <w:tc>
          <w:tcPr>
            <w:tcW w:type="dxa" w:w="4176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53</w:t>
            </w:r>
          </w:p>
        </w:tc>
      </w:tr>
      <w:tr>
        <w:tc>
          <w:tcPr>
            <w:tcW w:type="dxa" w:w="5184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资源/周期/有色</w:t>
            </w:r>
          </w:p>
        </w:tc>
        <w:tc>
          <w:tcPr>
            <w:tcW w:type="dxa" w:w="4176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36</w:t>
            </w:r>
          </w:p>
        </w:tc>
      </w:tr>
      <w:tr>
        <w:tc>
          <w:tcPr>
            <w:tcW w:type="dxa" w:w="5184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新能源/电力</w:t>
            </w:r>
          </w:p>
        </w:tc>
        <w:tc>
          <w:tcPr>
            <w:tcW w:type="dxa" w:w="4176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34</w:t>
            </w:r>
          </w:p>
        </w:tc>
      </w:tr>
      <w:tr>
        <w:tc>
          <w:tcPr>
            <w:tcW w:type="dxa" w:w="5184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锂电/电池</w:t>
            </w:r>
          </w:p>
        </w:tc>
        <w:tc>
          <w:tcPr>
            <w:tcW w:type="dxa" w:w="4176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32</w:t>
            </w:r>
          </w:p>
        </w:tc>
      </w:tr>
      <w:tr>
        <w:tc>
          <w:tcPr>
            <w:tcW w:type="dxa" w:w="5184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商业航天</w:t>
            </w:r>
          </w:p>
        </w:tc>
        <w:tc>
          <w:tcPr>
            <w:tcW w:type="dxa" w:w="4176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17</w:t>
            </w:r>
          </w:p>
        </w:tc>
      </w:tr>
      <w:tr>
        <w:tc>
          <w:tcPr>
            <w:tcW w:type="dxa" w:w="5184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消费/食品</w:t>
            </w:r>
          </w:p>
        </w:tc>
        <w:tc>
          <w:tcPr>
            <w:tcW w:type="dxa" w:w="4176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11</w:t>
            </w:r>
          </w:p>
        </w:tc>
      </w:tr>
      <w:tr>
        <w:tc>
          <w:tcPr>
            <w:tcW w:type="dxa" w:w="5184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AI/软件/大模型</w:t>
            </w:r>
          </w:p>
        </w:tc>
        <w:tc>
          <w:tcPr>
            <w:tcW w:type="dxa" w:w="4176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8</w:t>
            </w:r>
          </w:p>
        </w:tc>
      </w:tr>
      <w:tr>
        <w:tc>
          <w:tcPr>
            <w:tcW w:type="dxa" w:w="5184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医药/医疗</w:t>
            </w:r>
          </w:p>
        </w:tc>
        <w:tc>
          <w:tcPr>
            <w:tcW w:type="dxa" w:w="4176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6</w:t>
            </w:r>
          </w:p>
        </w:tc>
      </w:tr>
    </w:tbl>
    <w:p/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6120"/>
        <w:gridCol w:w="3240"/>
      </w:tblGrid>
      <w:tr>
        <w:tc>
          <w:tcPr>
            <w:tcW w:type="dxa" w:w="612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2F4F7"/>
          </w:tcPr>
          <w:p>
            <w:pPr>
              <w:jc w:val="left"/>
            </w:pPr>
            <w:r>
              <w:rPr>
                <w:rFonts w:ascii="Calibri" w:hAnsi="Calibri" w:eastAsia="PingFang SC"/>
                <w:b/>
                <w:color w:val="243142"/>
                <w:sz w:val="20"/>
              </w:rPr>
              <w:t>代码/名称</w:t>
            </w:r>
          </w:p>
        </w:tc>
        <w:tc>
          <w:tcPr>
            <w:tcW w:type="dxa" w:w="32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2F4F7"/>
          </w:tcPr>
          <w:p>
            <w:pPr>
              <w:jc w:val="left"/>
            </w:pPr>
            <w:r>
              <w:rPr>
                <w:rFonts w:ascii="Calibri" w:hAnsi="Calibri" w:eastAsia="PingFang SC"/>
                <w:b/>
                <w:color w:val="243142"/>
                <w:sz w:val="20"/>
              </w:rPr>
              <w:t>提及次数</w:t>
            </w:r>
          </w:p>
        </w:tc>
      </w:tr>
      <w:tr>
        <w:tc>
          <w:tcPr>
            <w:tcW w:type="dxa" w:w="612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300620 光库科技</w:t>
            </w:r>
          </w:p>
        </w:tc>
        <w:tc>
          <w:tcPr>
            <w:tcW w:type="dxa" w:w="324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3</w:t>
            </w:r>
          </w:p>
        </w:tc>
      </w:tr>
      <w:tr>
        <w:tc>
          <w:tcPr>
            <w:tcW w:type="dxa" w:w="612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002902 铭普光磁</w:t>
            </w:r>
          </w:p>
        </w:tc>
        <w:tc>
          <w:tcPr>
            <w:tcW w:type="dxa" w:w="324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3</w:t>
            </w:r>
          </w:p>
        </w:tc>
      </w:tr>
      <w:tr>
        <w:tc>
          <w:tcPr>
            <w:tcW w:type="dxa" w:w="612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002281 光迅科技</w:t>
            </w:r>
          </w:p>
        </w:tc>
        <w:tc>
          <w:tcPr>
            <w:tcW w:type="dxa" w:w="324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3</w:t>
            </w:r>
          </w:p>
        </w:tc>
      </w:tr>
      <w:tr>
        <w:tc>
          <w:tcPr>
            <w:tcW w:type="dxa" w:w="612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300480 光力科技</w:t>
            </w:r>
          </w:p>
        </w:tc>
        <w:tc>
          <w:tcPr>
            <w:tcW w:type="dxa" w:w="324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3</w:t>
            </w:r>
          </w:p>
        </w:tc>
      </w:tr>
      <w:tr>
        <w:tc>
          <w:tcPr>
            <w:tcW w:type="dxa" w:w="612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600498 烽火通信</w:t>
            </w:r>
          </w:p>
        </w:tc>
        <w:tc>
          <w:tcPr>
            <w:tcW w:type="dxa" w:w="324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2</w:t>
            </w:r>
          </w:p>
        </w:tc>
      </w:tr>
      <w:tr>
        <w:tc>
          <w:tcPr>
            <w:tcW w:type="dxa" w:w="612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600869 远东股份</w:t>
            </w:r>
          </w:p>
        </w:tc>
        <w:tc>
          <w:tcPr>
            <w:tcW w:type="dxa" w:w="324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2</w:t>
            </w:r>
          </w:p>
        </w:tc>
      </w:tr>
      <w:tr>
        <w:tc>
          <w:tcPr>
            <w:tcW w:type="dxa" w:w="612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002837 英维克</w:t>
            </w:r>
          </w:p>
        </w:tc>
        <w:tc>
          <w:tcPr>
            <w:tcW w:type="dxa" w:w="324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2</w:t>
            </w:r>
          </w:p>
        </w:tc>
      </w:tr>
      <w:tr>
        <w:tc>
          <w:tcPr>
            <w:tcW w:type="dxa" w:w="612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000811 冰轮环境</w:t>
            </w:r>
          </w:p>
        </w:tc>
        <w:tc>
          <w:tcPr>
            <w:tcW w:type="dxa" w:w="324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2</w:t>
            </w:r>
          </w:p>
        </w:tc>
      </w:tr>
      <w:tr>
        <w:tc>
          <w:tcPr>
            <w:tcW w:type="dxa" w:w="612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002491 通鼎互联</w:t>
            </w:r>
          </w:p>
        </w:tc>
        <w:tc>
          <w:tcPr>
            <w:tcW w:type="dxa" w:w="324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2</w:t>
            </w:r>
          </w:p>
        </w:tc>
      </w:tr>
      <w:tr>
        <w:tc>
          <w:tcPr>
            <w:tcW w:type="dxa" w:w="612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603876 鼎胜新材</w:t>
            </w:r>
          </w:p>
        </w:tc>
        <w:tc>
          <w:tcPr>
            <w:tcW w:type="dxa" w:w="324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2</w:t>
            </w:r>
          </w:p>
        </w:tc>
      </w:tr>
      <w:tr>
        <w:tc>
          <w:tcPr>
            <w:tcW w:type="dxa" w:w="612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301306 西测测试</w:t>
            </w:r>
          </w:p>
        </w:tc>
        <w:tc>
          <w:tcPr>
            <w:tcW w:type="dxa" w:w="324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2</w:t>
            </w:r>
          </w:p>
        </w:tc>
      </w:tr>
      <w:tr>
        <w:tc>
          <w:tcPr>
            <w:tcW w:type="dxa" w:w="612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301511 德福科技</w:t>
            </w:r>
          </w:p>
        </w:tc>
        <w:tc>
          <w:tcPr>
            <w:tcW w:type="dxa" w:w="324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2</w:t>
            </w:r>
          </w:p>
        </w:tc>
      </w:tr>
    </w:tbl>
    <w:p/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6120"/>
        <w:gridCol w:w="3240"/>
      </w:tblGrid>
      <w:tr>
        <w:tc>
          <w:tcPr>
            <w:tcW w:type="dxa" w:w="612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2F4F7"/>
          </w:tcPr>
          <w:p>
            <w:pPr>
              <w:jc w:val="left"/>
            </w:pPr>
            <w:r>
              <w:rPr>
                <w:rFonts w:ascii="Calibri" w:hAnsi="Calibri" w:eastAsia="PingFang SC"/>
                <w:b/>
                <w:color w:val="243142"/>
                <w:sz w:val="20"/>
              </w:rPr>
              <w:t>名称型候选标的</w:t>
            </w:r>
          </w:p>
        </w:tc>
        <w:tc>
          <w:tcPr>
            <w:tcW w:type="dxa" w:w="32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2F4F7"/>
          </w:tcPr>
          <w:p>
            <w:pPr>
              <w:jc w:val="left"/>
            </w:pPr>
            <w:r>
              <w:rPr>
                <w:rFonts w:ascii="Calibri" w:hAnsi="Calibri" w:eastAsia="PingFang SC"/>
                <w:b/>
                <w:color w:val="243142"/>
                <w:sz w:val="20"/>
              </w:rPr>
              <w:t>提及次数</w:t>
            </w:r>
          </w:p>
        </w:tc>
      </w:tr>
      <w:tr>
        <w:tc>
          <w:tcPr>
            <w:tcW w:type="dxa" w:w="612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凯格精机</w:t>
            </w:r>
          </w:p>
        </w:tc>
        <w:tc>
          <w:tcPr>
            <w:tcW w:type="dxa" w:w="324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42</w:t>
            </w:r>
          </w:p>
        </w:tc>
      </w:tr>
      <w:tr>
        <w:tc>
          <w:tcPr>
            <w:tcW w:type="dxa" w:w="612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汇绿生态</w:t>
            </w:r>
          </w:p>
        </w:tc>
        <w:tc>
          <w:tcPr>
            <w:tcW w:type="dxa" w:w="324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41</w:t>
            </w:r>
          </w:p>
        </w:tc>
      </w:tr>
      <w:tr>
        <w:tc>
          <w:tcPr>
            <w:tcW w:type="dxa" w:w="612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朗科科技</w:t>
            </w:r>
          </w:p>
        </w:tc>
        <w:tc>
          <w:tcPr>
            <w:tcW w:type="dxa" w:w="324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32</w:t>
            </w:r>
          </w:p>
        </w:tc>
      </w:tr>
      <w:tr>
        <w:tc>
          <w:tcPr>
            <w:tcW w:type="dxa" w:w="612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光迅科技</w:t>
            </w:r>
          </w:p>
        </w:tc>
        <w:tc>
          <w:tcPr>
            <w:tcW w:type="dxa" w:w="324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24</w:t>
            </w:r>
          </w:p>
        </w:tc>
      </w:tr>
      <w:tr>
        <w:tc>
          <w:tcPr>
            <w:tcW w:type="dxa" w:w="612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烽火通信</w:t>
            </w:r>
          </w:p>
        </w:tc>
        <w:tc>
          <w:tcPr>
            <w:tcW w:type="dxa" w:w="324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16</w:t>
            </w:r>
          </w:p>
        </w:tc>
      </w:tr>
      <w:tr>
        <w:tc>
          <w:tcPr>
            <w:tcW w:type="dxa" w:w="612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英维克</w:t>
            </w:r>
          </w:p>
        </w:tc>
        <w:tc>
          <w:tcPr>
            <w:tcW w:type="dxa" w:w="324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16</w:t>
            </w:r>
          </w:p>
        </w:tc>
      </w:tr>
      <w:tr>
        <w:tc>
          <w:tcPr>
            <w:tcW w:type="dxa" w:w="612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铭普光磁</w:t>
            </w:r>
          </w:p>
        </w:tc>
        <w:tc>
          <w:tcPr>
            <w:tcW w:type="dxa" w:w="324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14</w:t>
            </w:r>
          </w:p>
        </w:tc>
      </w:tr>
      <w:tr>
        <w:tc>
          <w:tcPr>
            <w:tcW w:type="dxa" w:w="612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中超控股</w:t>
            </w:r>
          </w:p>
        </w:tc>
        <w:tc>
          <w:tcPr>
            <w:tcW w:type="dxa" w:w="324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13</w:t>
            </w:r>
          </w:p>
        </w:tc>
      </w:tr>
      <w:tr>
        <w:tc>
          <w:tcPr>
            <w:tcW w:type="dxa" w:w="612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光库科技</w:t>
            </w:r>
          </w:p>
        </w:tc>
        <w:tc>
          <w:tcPr>
            <w:tcW w:type="dxa" w:w="324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13</w:t>
            </w:r>
          </w:p>
        </w:tc>
      </w:tr>
      <w:tr>
        <w:tc>
          <w:tcPr>
            <w:tcW w:type="dxa" w:w="612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华电能源</w:t>
            </w:r>
          </w:p>
        </w:tc>
        <w:tc>
          <w:tcPr>
            <w:tcW w:type="dxa" w:w="324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13</w:t>
            </w:r>
          </w:p>
        </w:tc>
      </w:tr>
      <w:tr>
        <w:tc>
          <w:tcPr>
            <w:tcW w:type="dxa" w:w="612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莲花控股</w:t>
            </w:r>
          </w:p>
        </w:tc>
        <w:tc>
          <w:tcPr>
            <w:tcW w:type="dxa" w:w="324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13</w:t>
            </w:r>
          </w:p>
        </w:tc>
      </w:tr>
      <w:tr>
        <w:tc>
          <w:tcPr>
            <w:tcW w:type="dxa" w:w="612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冰轮环境</w:t>
            </w:r>
          </w:p>
        </w:tc>
        <w:tc>
          <w:tcPr>
            <w:tcW w:type="dxa" w:w="324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11</w:t>
            </w:r>
          </w:p>
        </w:tc>
      </w:tr>
      <w:tr>
        <w:tc>
          <w:tcPr>
            <w:tcW w:type="dxa" w:w="612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华工科技</w:t>
            </w:r>
          </w:p>
        </w:tc>
        <w:tc>
          <w:tcPr>
            <w:tcW w:type="dxa" w:w="324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11</w:t>
            </w:r>
          </w:p>
        </w:tc>
      </w:tr>
      <w:tr>
        <w:tc>
          <w:tcPr>
            <w:tcW w:type="dxa" w:w="612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杭电股份</w:t>
            </w:r>
          </w:p>
        </w:tc>
        <w:tc>
          <w:tcPr>
            <w:tcW w:type="dxa" w:w="324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11</w:t>
            </w:r>
          </w:p>
        </w:tc>
      </w:tr>
      <w:tr>
        <w:tc>
          <w:tcPr>
            <w:tcW w:type="dxa" w:w="612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宇环数控</w:t>
            </w:r>
          </w:p>
        </w:tc>
        <w:tc>
          <w:tcPr>
            <w:tcW w:type="dxa" w:w="324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9</w:t>
            </w:r>
          </w:p>
        </w:tc>
      </w:tr>
      <w:tr>
        <w:tc>
          <w:tcPr>
            <w:tcW w:type="dxa" w:w="612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伊戈尔</w:t>
            </w:r>
          </w:p>
        </w:tc>
        <w:tc>
          <w:tcPr>
            <w:tcW w:type="dxa" w:w="324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8</w:t>
            </w:r>
          </w:p>
        </w:tc>
      </w:tr>
      <w:tr>
        <w:tc>
          <w:tcPr>
            <w:tcW w:type="dxa" w:w="612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东阳光</w:t>
            </w:r>
          </w:p>
        </w:tc>
        <w:tc>
          <w:tcPr>
            <w:tcW w:type="dxa" w:w="324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8</w:t>
            </w:r>
          </w:p>
        </w:tc>
      </w:tr>
      <w:tr>
        <w:tc>
          <w:tcPr>
            <w:tcW w:type="dxa" w:w="612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国际复材</w:t>
            </w:r>
          </w:p>
        </w:tc>
        <w:tc>
          <w:tcPr>
            <w:tcW w:type="dxa" w:w="3240"/>
          </w:tcPr>
          <w:p>
            <w:pPr>
              <w:jc w:val="left"/>
            </w:pPr>
            <w:r>
              <w:rPr>
                <w:rFonts w:ascii="Calibri" w:hAnsi="Calibri" w:eastAsia="PingFang SC"/>
                <w:b w:val="0"/>
                <w:color w:val="243142"/>
                <w:sz w:val="20"/>
              </w:rPr>
              <w:t>8</w:t>
            </w:r>
          </w:p>
        </w:tc>
      </w:tr>
    </w:tbl>
    <w:p/>
    <w:p>
      <w:pPr>
        <w:pStyle w:val="Heading1"/>
      </w:pPr>
      <w:r>
        <w:t>四、策略画像</w:t>
      </w:r>
    </w:p>
    <w:p>
      <w:r>
        <w:rPr>
          <w:rFonts w:ascii="Calibri" w:hAnsi="Calibri" w:eastAsia="PingFang SC"/>
          <w:sz w:val="22"/>
        </w:rPr>
        <w:t>文本中的策略可以概括为：先判断大盘和主线板块是否处在可做周期，再观察主力资金是否持续流入；个股层面要求放量阳线、黄色均价线承接、5 日均线不破、炸板后能否回封等信号；仓位上强调分批关注、右侧确认、风险日降低仓位。</w:t>
      </w:r>
    </w:p>
    <w:p>
      <w:r>
        <w:rPr>
          <w:rFonts w:ascii="Calibri" w:hAnsi="Calibri" w:eastAsia="PingFang SC"/>
          <w:sz w:val="22"/>
        </w:rPr>
        <w:t>退出纪律主要围绕三类触发：炸板次数增加、跌破黄色均价线或开盘价、收盘跌破 5 日均线。多处出现“先减仓”“取消关注”“不让盈利变亏损”的表述，说明文档核心并不是预测本身，而是盘中根据资金和承接做动态修正。</w:t>
      </w:r>
    </w:p>
    <w:p>
      <w:pPr>
        <w:pStyle w:val="Heading1"/>
      </w:pPr>
      <w:r>
        <w:t>五、数据口径说明</w:t>
      </w:r>
    </w:p>
    <w:p>
      <w:r>
        <w:rPr>
          <w:rFonts w:ascii="Calibri" w:hAnsi="Calibri" w:eastAsia="PingFang SC"/>
          <w:sz w:val="22"/>
        </w:rPr>
        <w:t>本报告是文本挖掘结果，不构成投资建议。所有图表基于关键词命中和代码识别：同一段话可同时命中多个类别；未带代码的个股名称通过名称模式抽取，可能存在少量误差；文档未提供完整成交记录，因此不能做真实收益回测。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Calibri" w:hAnsi="Calibri" w:eastAsia="PingFang SC"/>
        <w:b w:val="0"/>
        <w:color w:val="667085"/>
        <w:sz w:val="18"/>
      </w:rPr>
      <w:t>跟羽教授炒股日记分析报告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64" w:lineRule="auto"/>
    </w:pPr>
    <w:rPr>
      <w:rFonts w:ascii="Calibri" w:hAnsi="Calibri" w:eastAsia="PingFang SC"/>
      <w:b w:val="0"/>
      <w:color w:val="243142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Calibri" w:hAnsi="Calibri" w:eastAsia="PingFang SC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 w:eastAsia="PingFang SC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 w:eastAsia="PingFang SC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Calibri" w:hAnsi="Calibri" w:eastAsia="PingFang SC"/>
      <w:b/>
      <w:color w:val="0B2545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160" w:line="280" w:lineRule="auto"/>
      <w:contextualSpacing/>
    </w:pPr>
    <w:rPr>
      <w:rFonts w:ascii="Calibri" w:hAnsi="Calibri" w:eastAsia="PingFang SC"/>
      <w:b w:val="0"/>
      <w:color w:val="243142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